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b/>
          <w:iCs/>
          <w:sz w:val="24"/>
          <w:szCs w:val="24"/>
        </w:rPr>
        <w:t>Извещение</w:t>
      </w:r>
    </w:p>
    <w:p>
      <w:pPr>
        <w:pStyle w:val="Normal"/>
        <w:ind w:firstLine="709"/>
        <w:jc w:val="center"/>
        <w:rPr/>
      </w:pPr>
      <w:r>
        <w:rPr>
          <w:b/>
          <w:iCs/>
          <w:sz w:val="24"/>
          <w:szCs w:val="24"/>
        </w:rPr>
        <w:t>о проведении аукциона на право заключения договора аренды</w:t>
      </w:r>
    </w:p>
    <w:p>
      <w:pPr>
        <w:pStyle w:val="Normal"/>
        <w:ind w:firstLine="709"/>
        <w:jc w:val="center"/>
        <w:rPr/>
      </w:pPr>
      <w:r>
        <w:rPr>
          <w:b/>
          <w:iCs/>
          <w:sz w:val="24"/>
          <w:szCs w:val="24"/>
        </w:rPr>
        <w:t>муниципального имущества Харьковского сельского поселения муниципального района «Ровеньский район» Белгородской области</w:t>
      </w:r>
    </w:p>
    <w:p>
      <w:pPr>
        <w:pStyle w:val="Normal"/>
        <w:ind w:firstLine="709"/>
        <w:jc w:val="both"/>
        <w:rPr>
          <w:b/>
          <w:b/>
          <w:bCs/>
          <w:iCs/>
          <w:spacing w:val="-8"/>
          <w:sz w:val="24"/>
          <w:szCs w:val="24"/>
        </w:rPr>
      </w:pPr>
      <w:r>
        <w:rPr>
          <w:b/>
          <w:bCs/>
          <w:iCs/>
          <w:spacing w:val="-8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Администрация Харьковского сельского поселения муниципального района «Ровеньский район» Белгородской области проводит открытый аукцион на право заключения договора аренды муниципального имущества Харьковского сельского поселения муниципального района «Ровеньский район» Белгородской области</w:t>
      </w:r>
      <w:r>
        <w:rPr>
          <w:iCs/>
          <w:sz w:val="24"/>
          <w:szCs w:val="24"/>
        </w:rPr>
        <w:t xml:space="preserve"> н</w:t>
      </w:r>
      <w:r>
        <w:rPr>
          <w:bCs/>
          <w:iCs/>
          <w:spacing w:val="-8"/>
          <w:sz w:val="24"/>
          <w:szCs w:val="24"/>
        </w:rPr>
        <w:t>а основании распоряжения</w:t>
      </w:r>
      <w:r>
        <w:rPr>
          <w:bCs/>
          <w:iCs/>
          <w:color w:val="FF0000"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Харьковского сельского поселения муниципального района «Ровеньский район» Белгородской области</w:t>
      </w:r>
      <w:r>
        <w:rPr>
          <w:bCs/>
          <w:iCs/>
          <w:color w:val="FF0000"/>
          <w:spacing w:val="-8"/>
          <w:sz w:val="24"/>
          <w:szCs w:val="24"/>
        </w:rPr>
        <w:t xml:space="preserve"> </w:t>
      </w:r>
      <w:r>
        <w:rPr>
          <w:bCs/>
          <w:iCs/>
          <w:spacing w:val="-8"/>
          <w:sz w:val="24"/>
          <w:szCs w:val="24"/>
        </w:rPr>
        <w:t>от 28 марта 2023 года № 28</w:t>
      </w:r>
      <w:r>
        <w:rPr>
          <w:bCs/>
          <w:iCs/>
          <w:color w:val="FF0000"/>
          <w:spacing w:val="-8"/>
          <w:sz w:val="24"/>
          <w:szCs w:val="24"/>
        </w:rPr>
        <w:t xml:space="preserve"> </w:t>
      </w:r>
      <w:r>
        <w:rPr>
          <w:iCs/>
          <w:sz w:val="24"/>
          <w:szCs w:val="24"/>
        </w:rPr>
        <w:t>«О проведении открытого аукциона на право заключения договора аренды муниципального имущества».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1. Наименование Организатора аукциона: Администрация Харьковского сельского поселения муниципального района «Ровеньский район» Белгородской области.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Место нахождения, почтовый (электронный) адрес Организатора аукциона: 309757, Белгородская область, Ровеньский район, село Харьковское, ул. Центральная, д. 35,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har</w:t>
        </w:r>
        <w:r>
          <w:rPr>
            <w:rFonts w:ascii="Times New Roman" w:hAnsi="Times New Roman"/>
            <w:color w:val="000000"/>
            <w:sz w:val="24"/>
            <w:szCs w:val="24"/>
            <w:u w:val="none"/>
          </w:rPr>
          <w:t>adm</w:t>
        </w:r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rov</w:t>
        </w:r>
        <w:r>
          <w:rPr>
            <w:rFonts w:ascii="Times New Roman" w:hAnsi="Times New Roman"/>
            <w:color w:val="000000"/>
            <w:sz w:val="24"/>
            <w:szCs w:val="24"/>
            <w:u w:val="none"/>
          </w:rPr>
          <w:t>@yandex.ru</w:t>
        </w:r>
      </w:hyperlink>
      <w:r>
        <w:rPr>
          <w:rFonts w:ascii="Times New Roman" w:hAnsi="Times New Roman"/>
          <w:color w:val="000000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омер контактного телефона: 8 (47238) 36-1-27.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3. Место расположения недвижимого имущества, права на которое передаются по договору: 309758, Белгородская обл., р-н Ровеньский, с. Масловка, ул. Молодежная, д. 16.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Описания муниципального имущества (Лот №1). 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Лот №1 – </w:t>
      </w:r>
      <w:r>
        <w:rPr>
          <w:rFonts w:ascii="Times New Roman" w:hAnsi="Times New Roman"/>
          <w:sz w:val="24"/>
          <w:szCs w:val="28"/>
        </w:rPr>
        <w:t xml:space="preserve">нежилое здание, площадью 76,5 кв.м, с кадастровым номером 31:24:0202004:96, расположенное по адресу: Российская Федерация, Белгородская область, Ровеньский район, с.п. Харьковское, с. Масловка, ул. Молодежная, д. 16; 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- земельный участок, площадью 230 кв.м, с кадастровым номером 31:24:0202004:97, расположенный по адресу: Белгородская область, р-н Ровеньский, с. Масловка,                              ул. Молодёжная, 16.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Начальная (минимальная) арендная плата за пользование имуществом в месяц </w:t>
      </w:r>
      <w:r>
        <w:rPr>
          <w:rFonts w:ascii="Times New Roman" w:hAnsi="Times New Roman"/>
          <w:bCs/>
          <w:sz w:val="24"/>
          <w:szCs w:val="24"/>
        </w:rPr>
        <w:t xml:space="preserve">–          </w:t>
      </w:r>
      <w:r>
        <w:rPr>
          <w:rFonts w:ascii="Times New Roman" w:hAnsi="Times New Roman"/>
          <w:bCs/>
          <w:iCs/>
          <w:sz w:val="24"/>
          <w:szCs w:val="24"/>
        </w:rPr>
        <w:t>11 334 (Одиннадцать</w:t>
      </w:r>
      <w:r>
        <w:rPr>
          <w:rFonts w:ascii="Times New Roman" w:hAnsi="Times New Roman"/>
          <w:sz w:val="24"/>
          <w:szCs w:val="24"/>
        </w:rPr>
        <w:t xml:space="preserve"> тысяч триста тридцать четыре</w:t>
      </w:r>
      <w:r>
        <w:rPr>
          <w:rFonts w:ascii="Times New Roman" w:hAnsi="Times New Roman"/>
          <w:bCs/>
          <w:iCs/>
          <w:sz w:val="24"/>
          <w:szCs w:val="24"/>
        </w:rPr>
        <w:t>) рубля 00 копеек</w:t>
      </w:r>
      <w:r>
        <w:rPr>
          <w:rFonts w:ascii="Times New Roman" w:hAnsi="Times New Roman"/>
          <w:bCs/>
          <w:sz w:val="24"/>
          <w:szCs w:val="24"/>
        </w:rPr>
        <w:t xml:space="preserve"> с учетом НДС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1"/>
        <w:widowControl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4. Целевое назначение муниципального имущества, права на которое передаются по договору: имущество предоставляется в аренду исключительно по назначению юридическим и физическим лицам, относящимся к субъектам малого и среднего предпринимательства, физическим лицам, применяющие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по результатам торгов в форме аукциона.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5. Срок действия договора: договор аренды заключается сроком на 5 (пять) лет.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  <w:lang w:eastAsia="ar-SA"/>
        </w:rPr>
        <w:t>Срок, место и порядок предоставления аукционной документации.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Аукционная документация предоставляется заинтересованному лицу лично по адресу: Белгородская область, Ровеньский район, село Харьковское, ул. Центральная, д. 35,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har</w:t>
        </w:r>
        <w:r>
          <w:rPr>
            <w:rFonts w:ascii="Times New Roman" w:hAnsi="Times New Roman"/>
            <w:color w:val="000000"/>
            <w:sz w:val="24"/>
            <w:szCs w:val="24"/>
            <w:u w:val="none"/>
          </w:rPr>
          <w:t>adm</w:t>
        </w:r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rov</w:t>
        </w:r>
        <w:r>
          <w:rPr>
            <w:rFonts w:ascii="Times New Roman" w:hAnsi="Times New Roman"/>
            <w:color w:val="000000"/>
            <w:sz w:val="24"/>
            <w:szCs w:val="24"/>
            <w:u w:val="none"/>
          </w:rPr>
          <w:t>@yandex.ru</w:t>
        </w:r>
      </w:hyperlink>
      <w:r>
        <w:rPr>
          <w:rFonts w:ascii="Times New Roman" w:hAnsi="Times New Roman"/>
          <w:sz w:val="24"/>
          <w:szCs w:val="24"/>
        </w:rPr>
        <w:t xml:space="preserve">, главой администрации Харьковского сельского поселения  (тел. для справок 8 (47238) 36-1-27) в рабочие дни с 08 часов 00 минут до 17 часов 00 минут (перерыв с 12 часов 00 минут до 14 часов 00 минут) на официальном сайте о проведении торгов: </w:t>
      </w:r>
      <w:r>
        <w:rPr>
          <w:rStyle w:val="Style9"/>
          <w:rFonts w:ascii="Times New Roman" w:hAnsi="Times New Roman"/>
          <w:color w:val="000000"/>
          <w:sz w:val="24"/>
          <w:szCs w:val="24"/>
          <w:u w:val="none"/>
        </w:rPr>
        <w:t>https://torgi.gov.ru/new/</w:t>
      </w:r>
      <w:r>
        <w:rPr>
          <w:rFonts w:ascii="Times New Roman" w:hAnsi="Times New Roman"/>
          <w:sz w:val="24"/>
          <w:szCs w:val="24"/>
        </w:rPr>
        <w:t>, и на сайте Администрации Харьковского сельского поселения</w:t>
      </w:r>
      <w:r>
        <w:rPr>
          <w:rFonts w:ascii="Times New Roman" w:hAnsi="Times New Roman"/>
          <w:color w:val="FF66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https://xarkovskoe-r31.gosweb.gosuslugi.ru/.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Предоставление аукционной документации до размещения на официальном сайте торгов извещения о поведении аукциона не допускается.</w:t>
      </w:r>
    </w:p>
    <w:p>
      <w:pPr>
        <w:pStyle w:val="Normal"/>
        <w:ind w:firstLine="709"/>
        <w:jc w:val="both"/>
        <w:rPr/>
      </w:pPr>
      <w:r>
        <w:rPr>
          <w:iCs/>
          <w:sz w:val="24"/>
          <w:szCs w:val="24"/>
        </w:rPr>
        <w:t xml:space="preserve">Дата, время и место начала приема заявок на участие в аукционе: заявки принимаются с </w:t>
      </w:r>
      <w:r>
        <w:rPr>
          <w:b/>
          <w:bCs/>
          <w:spacing w:val="-8"/>
          <w:sz w:val="24"/>
          <w:szCs w:val="24"/>
        </w:rPr>
        <w:t>«30» марта 2023 года</w:t>
      </w:r>
      <w:r>
        <w:rPr>
          <w:bCs/>
          <w:spacing w:val="-8"/>
          <w:sz w:val="24"/>
          <w:szCs w:val="24"/>
        </w:rPr>
        <w:t>,</w:t>
      </w:r>
      <w:r>
        <w:rPr>
          <w:iCs/>
          <w:spacing w:val="-8"/>
          <w:sz w:val="24"/>
          <w:szCs w:val="24"/>
        </w:rPr>
        <w:t xml:space="preserve"> с 08 часов 00 минут  до 17 часов 00 минут (перерыв с 12 часов 00 минут  до 14 часов 00 минут) в рабочие дни по адресу: </w:t>
      </w:r>
      <w:r>
        <w:rPr>
          <w:sz w:val="24"/>
          <w:szCs w:val="24"/>
        </w:rPr>
        <w:t>309757, Белгородская область, Ровеньский район, село Харьковское, ул. Центральная, д. 35</w:t>
      </w:r>
      <w:r>
        <w:rPr>
          <w:iCs/>
          <w:spacing w:val="-8"/>
          <w:sz w:val="24"/>
          <w:szCs w:val="24"/>
        </w:rPr>
        <w:t xml:space="preserve">, 1 этаж, кабинет </w:t>
      </w:r>
      <w:r>
        <w:rPr>
          <w:sz w:val="24"/>
          <w:szCs w:val="24"/>
        </w:rPr>
        <w:t>главы администрации Харьковского сельского поселения</w:t>
      </w:r>
      <w:r>
        <w:rPr>
          <w:iCs/>
          <w:spacing w:val="-8"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Дата окончания приема заявок на участие в аукционе: </w:t>
      </w:r>
      <w:r>
        <w:rPr>
          <w:b/>
          <w:bCs/>
          <w:spacing w:val="-8"/>
          <w:sz w:val="24"/>
          <w:szCs w:val="24"/>
        </w:rPr>
        <w:t>«20» апреля 2023 года</w:t>
      </w:r>
      <w:r>
        <w:rPr>
          <w:iCs/>
          <w:sz w:val="24"/>
          <w:szCs w:val="24"/>
        </w:rPr>
        <w:t>, до  10 часов 00 минут (по московскому времени).</w:t>
      </w:r>
    </w:p>
    <w:p>
      <w:pPr>
        <w:pStyle w:val="Normal"/>
        <w:ind w:firstLine="709"/>
        <w:jc w:val="both"/>
        <w:rPr/>
      </w:pP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Дата, время и место рассмотрения заявок: </w:t>
      </w:r>
      <w:r>
        <w:rPr>
          <w:b/>
          <w:bCs/>
          <w:spacing w:val="-8"/>
          <w:sz w:val="24"/>
          <w:szCs w:val="24"/>
        </w:rPr>
        <w:t>«24» апреля 2023 года</w:t>
      </w:r>
      <w:r>
        <w:rPr>
          <w:iCs/>
          <w:spacing w:val="-8"/>
          <w:sz w:val="24"/>
          <w:szCs w:val="24"/>
        </w:rPr>
        <w:t xml:space="preserve"> в 10 часов 30 минут по московскому времени по адресу: </w:t>
      </w:r>
      <w:r>
        <w:rPr>
          <w:sz w:val="24"/>
          <w:szCs w:val="24"/>
        </w:rPr>
        <w:t>309757, Белгородская область, Ровеньский район, село Харьковское, ул. Центральная, д. 35</w:t>
      </w:r>
      <w:r>
        <w:rPr>
          <w:iCs/>
          <w:spacing w:val="-8"/>
          <w:sz w:val="24"/>
          <w:szCs w:val="24"/>
        </w:rPr>
        <w:t xml:space="preserve">, 1 этаж, кабинет </w:t>
      </w:r>
      <w:r>
        <w:rPr>
          <w:sz w:val="24"/>
          <w:szCs w:val="24"/>
        </w:rPr>
        <w:t>главы администрации Харьковского сельского поселения</w:t>
      </w:r>
      <w:r>
        <w:rPr>
          <w:iCs/>
          <w:spacing w:val="-8"/>
          <w:sz w:val="24"/>
          <w:szCs w:val="24"/>
        </w:rPr>
        <w:t>.</w:t>
      </w:r>
    </w:p>
    <w:p>
      <w:pPr>
        <w:pStyle w:val="Normal"/>
        <w:ind w:firstLine="709"/>
        <w:jc w:val="both"/>
        <w:rPr/>
      </w:pPr>
      <w:r>
        <w:rPr>
          <w:iCs/>
          <w:sz w:val="24"/>
          <w:szCs w:val="24"/>
        </w:rPr>
        <w:t xml:space="preserve">Место, дата и время проведения аукциона: аукцион будет проходить по адресу: </w:t>
      </w:r>
      <w:r>
        <w:rPr>
          <w:sz w:val="24"/>
          <w:szCs w:val="24"/>
        </w:rPr>
        <w:t>309757, Белгородская область, Ровеньский район, село Харьковское, ул. Центральная, д. 35</w:t>
      </w:r>
      <w:r>
        <w:rPr>
          <w:iCs/>
          <w:spacing w:val="-8"/>
          <w:sz w:val="24"/>
          <w:szCs w:val="24"/>
        </w:rPr>
        <w:t xml:space="preserve">, 1 этаж, кабинет </w:t>
      </w:r>
      <w:r>
        <w:rPr>
          <w:sz w:val="24"/>
          <w:szCs w:val="24"/>
        </w:rPr>
        <w:t>главы администрации Харьковского сельского поселения</w:t>
      </w:r>
      <w:r>
        <w:rPr>
          <w:iCs/>
          <w:sz w:val="24"/>
          <w:szCs w:val="24"/>
        </w:rPr>
        <w:t xml:space="preserve"> - </w:t>
      </w:r>
      <w:r>
        <w:rPr>
          <w:b/>
          <w:bCs/>
          <w:spacing w:val="-8"/>
          <w:sz w:val="24"/>
          <w:szCs w:val="24"/>
        </w:rPr>
        <w:t>«27»  апреля  2023 года</w:t>
      </w:r>
      <w:r>
        <w:rPr>
          <w:iCs/>
          <w:sz w:val="24"/>
          <w:szCs w:val="24"/>
        </w:rPr>
        <w:t xml:space="preserve"> в 10 часов 00 минут по московскому времени.</w:t>
      </w:r>
    </w:p>
    <w:p>
      <w:pPr>
        <w:pStyle w:val="Normal"/>
        <w:ind w:firstLine="709"/>
        <w:jc w:val="both"/>
        <w:rPr/>
      </w:pPr>
      <w:r>
        <w:rPr>
          <w:iCs/>
          <w:sz w:val="24"/>
          <w:szCs w:val="24"/>
        </w:rPr>
        <w:t>7. Задаток на участие в аукционе не предусмотрен.</w:t>
      </w:r>
    </w:p>
    <w:p>
      <w:pPr>
        <w:pStyle w:val="Normal"/>
        <w:ind w:firstLine="709"/>
        <w:jc w:val="both"/>
        <w:rPr/>
      </w:pPr>
      <w:r>
        <w:rPr>
          <w:iCs/>
          <w:sz w:val="24"/>
          <w:szCs w:val="24"/>
        </w:rPr>
        <w:t>8. Срок, в течение которого Организатор аукциона вправе отказаться от проведения аукциона.</w:t>
      </w:r>
    </w:p>
    <w:p>
      <w:pPr>
        <w:pStyle w:val="Normal"/>
        <w:ind w:firstLine="709"/>
        <w:jc w:val="both"/>
        <w:rPr/>
      </w:pPr>
      <w:r>
        <w:rPr>
          <w:iCs/>
          <w:sz w:val="24"/>
          <w:szCs w:val="24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>Участниками аукциона являются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</w:t>
      </w:r>
      <w:r>
        <w:rPr>
          <w:rFonts w:ascii="Times New Roman" w:hAnsi="Times New Roman"/>
          <w:color w:val="CE181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организации, образующие инфраструктуру поддержки субъектов малого и среднего предпринимательства, в связи с тем, что: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Лот №1 –</w:t>
      </w:r>
      <w:r>
        <w:rPr>
          <w:rFonts w:ascii="Times New Roman" w:hAnsi="Times New Roman"/>
          <w:color w:val="99CC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нежилое здание, площадью 76,5 кв.м, с кадастровым номером 31:24:0202004:96, расположенное по адресу: Российская Федерация, Белгородская область, Ровеньский район, с.п. Харьковское, с. Масловка, ул. Молодежная, д. 16; 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- земельный участок, площадью 230 кв.м, с кадастровым номером 31:24:0202004:97, расположенный по адресу: Белгородская область, р-н Ровеньский, с. Масловка,                              ул. Молодёжная, 16</w:t>
      </w:r>
      <w:r>
        <w:rPr>
          <w:rFonts w:ascii="Times New Roman" w:hAnsi="Times New Roman"/>
          <w:sz w:val="24"/>
          <w:szCs w:val="24"/>
        </w:rPr>
        <w:t>, входит в перечень имущества, относящегося к муниципальной собственности Харьковского сельского поселения муниципального района «Ровеньский район» Белгородской области, предназначенного для передачи во владение или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постановления администрации Харьковского сельского поселения от 30 июня 2021 года       № 34.</w:t>
      </w:r>
    </w:p>
    <w:p>
      <w:pPr>
        <w:pStyle w:val="Normal"/>
        <w:ind w:firstLine="709"/>
        <w:jc w:val="both"/>
        <w:rPr/>
      </w:pPr>
      <w:r>
        <w:rPr>
          <w:iCs/>
          <w:sz w:val="24"/>
          <w:szCs w:val="24"/>
        </w:rPr>
        <w:t>10. Внесение изменений в извещение о проведении аукциона.</w:t>
      </w:r>
    </w:p>
    <w:p>
      <w:pPr>
        <w:pStyle w:val="Normal"/>
        <w:ind w:firstLine="709"/>
        <w:jc w:val="both"/>
        <w:rPr/>
      </w:pPr>
      <w:r>
        <w:rPr>
          <w:iCs/>
          <w:sz w:val="24"/>
          <w:szCs w:val="24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 аукциона до даты окончания подачи заявок на участие в аукционе он составлял не менее пятнадцати дней.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851" w:header="0" w:top="709" w:footer="0" w:bottom="76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2" w:customStyle="1">
    <w:name w:val="Название Знак1"/>
    <w:link w:val="a5"/>
    <w:uiPriority w:val="10"/>
    <w:qFormat/>
    <w:rPr>
      <w:sz w:val="48"/>
      <w:szCs w:val="48"/>
    </w:rPr>
  </w:style>
  <w:style w:type="character" w:styleId="Style5" w:customStyle="1">
    <w:name w:val="Подзаголовок Знак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6" w:customStyle="1">
    <w:name w:val="Выделенная цитата Знак"/>
    <w:link w:val="a8"/>
    <w:uiPriority w:val="30"/>
    <w:qFormat/>
    <w:rPr>
      <w:i/>
    </w:rPr>
  </w:style>
  <w:style w:type="character" w:styleId="Style7" w:customStyle="1">
    <w:name w:val="Верхний колонтитул Знак"/>
    <w:link w:val="aa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8" w:customStyle="1">
    <w:name w:val="Нижний колонтитул Знак"/>
    <w:link w:val="ac"/>
    <w:uiPriority w:val="99"/>
    <w:qFormat/>
    <w:rPr/>
  </w:style>
  <w:style w:type="character" w:styleId="Style9" w:customStyle="1">
    <w:name w:val="Интернет-ссылка"/>
    <w:rPr>
      <w:color w:val="0000FF"/>
      <w:u w:val="single"/>
    </w:rPr>
  </w:style>
  <w:style w:type="character" w:styleId="Style10" w:customStyle="1">
    <w:name w:val="Текст сноски Знак"/>
    <w:link w:val="af1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4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23" w:customStyle="1">
    <w:name w:val="Основной шрифт абзаца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13" w:customStyle="1">
    <w:name w:val="Основной шрифт абзаца1"/>
    <w:qFormat/>
    <w:rPr/>
  </w:style>
  <w:style w:type="character" w:styleId="Style14" w:customStyle="1">
    <w:name w:val="Посещённая гиперссылка"/>
    <w:rPr>
      <w:color w:val="800080"/>
      <w:u w:val="single"/>
    </w:rPr>
  </w:style>
  <w:style w:type="character" w:styleId="Jsextractedaddress" w:customStyle="1">
    <w:name w:val="js-extracted-address"/>
    <w:basedOn w:val="23"/>
    <w:qFormat/>
    <w:rPr/>
  </w:style>
  <w:style w:type="character" w:styleId="Wmicallto" w:customStyle="1">
    <w:name w:val="wmi-callto"/>
    <w:basedOn w:val="23"/>
    <w:qFormat/>
    <w:rPr/>
  </w:style>
  <w:style w:type="character" w:styleId="Dropdownusername" w:customStyle="1">
    <w:name w:val="dropdown-user-name"/>
    <w:basedOn w:val="23"/>
    <w:qFormat/>
    <w:rPr/>
  </w:style>
  <w:style w:type="character" w:styleId="Dropdownusernamefirstletter" w:customStyle="1">
    <w:name w:val="dropdown-user-name__first-letter"/>
    <w:basedOn w:val="23"/>
    <w:qFormat/>
    <w:rPr/>
  </w:style>
  <w:style w:type="character" w:styleId="Style15" w:customStyle="1">
    <w:name w:val="Название Знак"/>
    <w:qFormat/>
    <w:rPr>
      <w:rFonts w:ascii="Cambria" w:hAnsi="Cambria" w:eastAsia="Times New Roman"/>
      <w:b/>
      <w:bCs/>
      <w:sz w:val="32"/>
      <w:szCs w:val="32"/>
      <w:lang w:eastAsia="zh-CN"/>
    </w:rPr>
  </w:style>
  <w:style w:type="paragraph" w:styleId="Style16" w:customStyle="1">
    <w:name w:val="Заголовок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sz w:val="32"/>
      <w:szCs w:val="32"/>
      <w:lang w:val="en-US" w:bidi="en-US"/>
    </w:rPr>
  </w:style>
  <w:style w:type="paragraph" w:styleId="Style17">
    <w:name w:val="Body Text"/>
    <w:basedOn w:val="Normal"/>
    <w:pPr>
      <w:jc w:val="center"/>
    </w:pPr>
    <w:rPr>
      <w:sz w:val="28"/>
    </w:rPr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next w:val="Normal"/>
    <w:link w:val="11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tyle22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tyle25">
    <w:name w:val="Footer"/>
    <w:basedOn w:val="Normal"/>
    <w:link w:val="ad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4"/>
      <w:szCs w:val="24"/>
      <w:lang w:val="en-US" w:bidi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6">
    <w:name w:val="Footnote Text"/>
    <w:basedOn w:val="Normal"/>
    <w:link w:val="af2"/>
    <w:uiPriority w:val="99"/>
    <w:semiHidden/>
    <w:unhideWhenUsed/>
    <w:pPr>
      <w:spacing w:before="0" w:after="40"/>
    </w:pPr>
    <w:rPr>
      <w:sz w:val="18"/>
    </w:rPr>
  </w:style>
  <w:style w:type="paragraph" w:styleId="Style27">
    <w:name w:val="Endnote Text"/>
    <w:basedOn w:val="Normal"/>
    <w:link w:val="af5"/>
    <w:uiPriority w:val="99"/>
    <w:semiHidden/>
    <w:unhideWhenUsed/>
    <w:pPr/>
    <w:rPr/>
  </w:style>
  <w:style w:type="paragraph" w:styleId="14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5" w:customStyle="1">
    <w:name w:val="Указатель2"/>
    <w:basedOn w:val="Normal"/>
    <w:qFormat/>
    <w:pPr>
      <w:suppressLineNumbers/>
    </w:pPr>
    <w:rPr/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/>
  </w:style>
  <w:style w:type="paragraph" w:styleId="Style28" w:customStyle="1">
    <w:name w:val="Знак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normal" w:customStyle="1">
    <w:name w:val="consplusnormal"/>
    <w:basedOn w:val="Normal"/>
    <w:qFormat/>
    <w:pPr>
      <w:spacing w:before="280" w:after="280"/>
    </w:pPr>
    <w:rPr>
      <w:sz w:val="24"/>
      <w:szCs w:val="24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16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33" w:customStyle="1">
    <w:name w:val="Стиль3"/>
    <w:basedOn w:val="211"/>
    <w:qFormat/>
    <w:pPr>
      <w:widowControl w:val="false"/>
      <w:tabs>
        <w:tab w:val="clear" w:pos="708"/>
        <w:tab w:val="left" w:pos="227" w:leader="none"/>
      </w:tabs>
      <w:spacing w:lineRule="auto" w:line="240" w:before="0" w:after="0"/>
      <w:ind w:left="0" w:hanging="0"/>
      <w:jc w:val="both"/>
    </w:pPr>
    <w:rPr>
      <w:sz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Western" w:customStyle="1">
    <w:name w:val="western"/>
    <w:basedOn w:val="Normal"/>
    <w:qFormat/>
    <w:pPr>
      <w:spacing w:before="280" w:after="280"/>
    </w:pPr>
    <w:rPr>
      <w:sz w:val="24"/>
      <w:szCs w:val="24"/>
    </w:rPr>
  </w:style>
  <w:style w:type="paragraph" w:styleId="Style29">
    <w:name w:val="Body Text Indent"/>
    <w:basedOn w:val="Normal"/>
    <w:pPr>
      <w:spacing w:before="0" w:after="120"/>
      <w:ind w:left="283" w:hanging="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Times New Roman"/>
      <w:b/>
      <w:bCs/>
      <w:color w:val="auto"/>
      <w:kern w:val="0"/>
      <w:sz w:val="20"/>
      <w:szCs w:val="20"/>
      <w:lang w:val="ru-RU" w:eastAsia="zh-CN" w:bidi="ar-SA"/>
    </w:rPr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Db9fe9049761426654245bb2dd862eecmsonormal" w:customStyle="1">
    <w:name w:val="db9fe9049761426654245bb2dd862eecmsonormal"/>
    <w:basedOn w:val="Normal"/>
    <w:qFormat/>
    <w:pPr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/>
      </w:tcPr>
    </w:tblStylePr>
    <w:tblStylePr w:type="band1Horz">
      <w:rPr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F81BD"/>
      </w:tcPr>
    </w:tblStylePr>
    <w:tblStylePr w:type="firstCol">
      <w:rPr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C0504D"/>
      </w:tcPr>
    </w:tblStylePr>
    <w:tblStylePr w:type="firstCol">
      <w:rPr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9BBB59"/>
      </w:tcPr>
    </w:tblStylePr>
    <w:tblStylePr w:type="firstCol">
      <w:rPr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8064A2"/>
      </w:tcPr>
    </w:tblStylePr>
    <w:tblStylePr w:type="firstCol">
      <w:rPr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BACC6"/>
      </w:tcPr>
    </w:tblStylePr>
    <w:tblStylePr w:type="firstCol">
      <w:rPr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F79646"/>
      </w:tcPr>
    </w:tblStylePr>
    <w:tblStylePr w:type="firstCol">
      <w:rPr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color w:val="7F7F7F"/>
        <w:sz w:val="22"/>
      </w:rPr>
      <w:tblPr/>
      <w:tcPr>
        <w:shd w:val="clear" w:color="FFFFFF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  <w:tblPr/>
    </w:tblStylePr>
    <w:tblStylePr w:type="firstCol">
      <w:rPr>
        <w:b/>
        <w:color w:val="A6BFDD"/>
      </w:rPr>
      <w:tblPr/>
    </w:tblStylePr>
    <w:tblStylePr w:type="lastCol">
      <w:rPr>
        <w:b/>
        <w:color w:val="A6BFDD"/>
      </w:rPr>
      <w:tblPr/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  <w:tblPr/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  <w:tblPr/>
    </w:tblStylePr>
    <w:tblStylePr w:type="firstCol">
      <w:rPr>
        <w:b/>
        <w:color w:val="9ABB59"/>
      </w:rPr>
      <w:tblPr/>
    </w:tblStylePr>
    <w:tblStylePr w:type="lastCol">
      <w:rPr>
        <w:b/>
        <w:color w:val="9ABB59"/>
      </w:rPr>
      <w:tblPr/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  <w:tblPr/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FDE9D8"/>
      </w:tcPr>
    </w:tblStylePr>
    <w:tblStylePr w:type="band1Horz">
      <w:rPr>
        <w:color w:val="266779"/>
        <w:sz w:val="22"/>
      </w:rPr>
      <w:tblPr/>
      <w:tcPr>
        <w:shd w:val="clear" w:color="FFFFFF" w:fill="FDE9D8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color w:val="7F7F7F"/>
        <w:sz w:val="22"/>
      </w:rPr>
      <w:tblPr/>
      <w:tcPr>
        <w:shd w:val="clear" w:color="FFFFFF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color="A6B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sz="4" w:space="0"/>
        </w:tcBorders>
        <w:shd w:val="clear" w:color="FFFFFF" w:fill="FFFFFF"/>
      </w:tcPr>
    </w:tblStylePr>
    <w:tblStylePr w:type="lastCol">
      <w:rPr>
        <w:i/>
        <w:color w:val="A6BFDD"/>
        <w:sz w:val="22"/>
      </w:rPr>
      <w:tblPr/>
      <w:tcPr>
        <w:tcBorders>
          <w:top w:val="none" w:color="auto" w:sz="0" w:space="0"/>
          <w:left w:val="single" w:color="A6BFD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color="9ABB5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sz="4" w:space="0"/>
        </w:tcBorders>
        <w:shd w:val="clear" w:color="FFFFFF" w:fill="FFFFFF"/>
      </w:tcPr>
    </w:tblStylePr>
    <w:tblStylePr w:type="lastCol">
      <w:rPr>
        <w:i/>
        <w:color w:val="9ABB59"/>
        <w:sz w:val="22"/>
      </w:rPr>
      <w:tblPr/>
      <w:tcPr>
        <w:tcBorders>
          <w:top w:val="none" w:color="auto" w:sz="0" w:space="0"/>
          <w:left w:val="single" w:color="9ABB59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color="99D0D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sz="4" w:space="0"/>
        </w:tcBorders>
        <w:shd w:val="clear" w:color="FFFFFF" w:fill="FFFFFF"/>
      </w:tcPr>
    </w:tblStylePr>
    <w:tblStylePr w:type="lastCol">
      <w:rPr>
        <w:i/>
        <w:color w:val="266779"/>
        <w:sz w:val="22"/>
      </w:rPr>
      <w:tblPr/>
      <w:tcPr>
        <w:tcBorders>
          <w:top w:val="none" w:color="auto" w:sz="0" w:space="0"/>
          <w:left w:val="single" w:color="99D0DE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color="FAC39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sz="4" w:space="0"/>
        </w:tcBorders>
        <w:shd w:val="clear" w:color="FFFFFF" w:fill="FFFFFF"/>
      </w:tcPr>
    </w:tblStylePr>
    <w:tblStylePr w:type="lastCol">
      <w:rPr>
        <w:i/>
        <w:color w:val="B15407"/>
        <w:sz w:val="22"/>
      </w:rPr>
      <w:tblPr/>
      <w:tcPr>
        <w:tcBorders>
          <w:top w:val="none" w:color="auto" w:sz="0" w:space="0"/>
          <w:left w:val="single" w:color="FAC39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color w:val="B15407"/>
        <w:sz w:val="22"/>
      </w:rPr>
      <w:tblPr/>
      <w:tcPr>
        <w:shd w:val="clear" w:color="FFFFFF" w:fill="FDE9D8"/>
      </w:tcPr>
    </w:tblStylePr>
    <w:tblStylePr w:type="band2Horz">
      <w:rPr>
        <w:color w:val="B15407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FFFFFF" w:fill="4F81BD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FFFFFF" w:fill="D9969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FFFFFF" w:fill="C3D69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FFFFFF" w:fill="B2A1C6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FFFFFF" w:fill="92CCDC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FFFFF" w:fill="FAC090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color w:val="000000"/>
        <w:sz w:val="22"/>
      </w:rPr>
      <w:tblPr/>
      <w:tcPr>
        <w:shd w:val="clear" w:color="FFFFFF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blPr/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  <w:tblPr/>
    </w:tblStylePr>
    <w:tblStylePr w:type="lastCol">
      <w:rPr>
        <w:b/>
        <w:color w:val="2A4A71"/>
      </w:rPr>
      <w:tblPr/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blPr/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  <w:tblPr/>
    </w:tblStylePr>
    <w:tblStylePr w:type="lastCol">
      <w:rPr>
        <w:b/>
        <w:color w:val="C3D69B"/>
      </w:rPr>
      <w:tblPr/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blPr/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  <w:tblPr/>
    </w:tblStylePr>
    <w:tblStylePr w:type="lastCol">
      <w:rPr>
        <w:b/>
        <w:color w:val="92CCDC"/>
      </w:rPr>
      <w:tblPr/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blPr/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  <w:tblPr/>
    </w:tblStylePr>
    <w:tblStylePr w:type="lastCol">
      <w:rPr>
        <w:b/>
        <w:color w:val="FAC090"/>
      </w:rPr>
      <w:tblPr/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color w:val="7F7F7F"/>
        <w:sz w:val="22"/>
      </w:rPr>
      <w:tblPr/>
      <w:tcPr>
        <w:shd w:val="clear" w:color="FFFFFF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  <w:shd w:val="clear" w:color="FFFFFF" w:fill="FFFFFF"/>
      </w:tcPr>
    </w:tblStylePr>
    <w:tblStylePr w:type="lastCol">
      <w:rPr>
        <w:i/>
        <w:color w:val="2A4A71"/>
        <w:sz w:val="22"/>
      </w:rPr>
      <w:tblPr/>
      <w:tcPr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color="C3D69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sz="4" w:space="0"/>
        </w:tcBorders>
        <w:shd w:val="clear" w:color="FFFFFF" w:fill="FFFFFF"/>
      </w:tcPr>
    </w:tblStylePr>
    <w:tblStylePr w:type="lastCol">
      <w:rPr>
        <w:i/>
        <w:color w:val="C3D69B"/>
        <w:sz w:val="22"/>
      </w:rPr>
      <w:tblPr/>
      <w:tcPr>
        <w:tcBorders>
          <w:top w:val="none" w:color="auto" w:sz="0" w:space="0"/>
          <w:left w:val="single" w:color="C3D69B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color="92CCDC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sz="4" w:space="0"/>
        </w:tcBorders>
        <w:shd w:val="clear" w:color="FFFFFF" w:fill="FFFFFF"/>
      </w:tcPr>
    </w:tblStylePr>
    <w:tblStylePr w:type="lastCol">
      <w:rPr>
        <w:i/>
        <w:color w:val="92CCDC"/>
        <w:sz w:val="22"/>
      </w:rPr>
      <w:tblPr/>
      <w:tcPr>
        <w:tcBorders>
          <w:top w:val="none" w:color="auto" w:sz="0" w:space="0"/>
          <w:left w:val="single" w:color="92CCDC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color="FAC0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sz="4" w:space="0"/>
        </w:tcBorders>
        <w:shd w:val="clear" w:color="FFFFFF" w:fill="FFFFFF"/>
      </w:tcPr>
    </w:tblStylePr>
    <w:tblStylePr w:type="lastCol">
      <w:rPr>
        <w:i/>
        <w:color w:val="FAC090"/>
        <w:sz w:val="22"/>
      </w:rPr>
      <w:tblPr/>
      <w:tcPr>
        <w:tcBorders>
          <w:top w:val="none" w:color="auto" w:sz="0" w:space="0"/>
          <w:left w:val="single" w:color="FAC090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radmrov@yandex.ru" TargetMode="External"/><Relationship Id="rId3" Type="http://schemas.openxmlformats.org/officeDocument/2006/relationships/hyperlink" Target="mailto:haradmrov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LibreOffice/6.4.4.2$Windows_x86 LibreOffice_project/3d775be2011f3886db32dfd395a6a6d1ca2630ff</Application>
  <Pages>28</Pages>
  <Words>11315</Words>
  <Characters>64498</Characters>
  <CharactersWithSpaces>75662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2023-03-28T04:59:00Z</dcterms:created>
  <dc:creator/>
  <dc:description/>
  <dc:language>ru-RU</dc:language>
  <cp:lastModifiedBy/>
  <dcterms:modified xsi:type="dcterms:W3CDTF">2023-03-28T09:27:12Z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